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What I’ll Keep</w:t>
      </w:r>
    </w:p>
    <w:p>
      <w:r>
        <w:rPr>
          <w:i/>
          <w:color w:val="3E6E5E"/>
          <w:sz w:val="22"/>
        </w:rPr>
        <w:t>You’re in the cohort now — forever. Here’s what you carry forward.</w:t>
      </w:r>
    </w:p>
    <w:p>
      <w:r>
        <w:t>We enjoy being here with you, in this time and space.</w:t>
      </w:r>
    </w:p>
    <w:p/>
    <w:p>
      <w:r>
        <w:rPr>
          <w:b/>
          <w:sz w:val="23"/>
        </w:rPr>
        <w:t>01  What I’ll keep from this course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02  My AOS lives at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03  My re-attunement rhythm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04  One thing I’ll bring to the cohort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i/>
          <w:color w:val="3E6E5E"/>
          <w:sz w:val="18"/>
        </w:rPr>
        <w:t>Lesson 17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